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6A" w:rsidRPr="00250A7F" w:rsidRDefault="0096266A" w:rsidP="00170A0E">
      <w:pPr>
        <w:ind w:left="6080"/>
        <w:rPr>
          <w:rFonts w:eastAsia="Times New Roman"/>
          <w:b/>
          <w:bCs/>
          <w:sz w:val="28"/>
          <w:szCs w:val="28"/>
        </w:rPr>
      </w:pPr>
      <w:bookmarkStart w:id="0" w:name="page1"/>
      <w:bookmarkEnd w:id="0"/>
      <w:r w:rsidRPr="00250A7F">
        <w:rPr>
          <w:rFonts w:eastAsia="Times New Roman"/>
          <w:b/>
          <w:bCs/>
          <w:sz w:val="28"/>
          <w:szCs w:val="28"/>
        </w:rPr>
        <w:t>ЗАТВЕРДЖЕНО</w:t>
      </w:r>
    </w:p>
    <w:p w:rsidR="0096266A" w:rsidRPr="00250A7F" w:rsidRDefault="0096266A" w:rsidP="00170A0E">
      <w:pPr>
        <w:ind w:left="6080"/>
        <w:rPr>
          <w:sz w:val="20"/>
          <w:szCs w:val="20"/>
        </w:rPr>
      </w:pPr>
    </w:p>
    <w:p w:rsidR="0096266A" w:rsidRPr="00250A7F" w:rsidRDefault="0096266A" w:rsidP="00170A0E">
      <w:pPr>
        <w:ind w:left="6080"/>
        <w:rPr>
          <w:rFonts w:eastAsia="Times New Roman"/>
          <w:b/>
          <w:bCs/>
          <w:sz w:val="24"/>
          <w:szCs w:val="24"/>
        </w:rPr>
      </w:pPr>
      <w:r w:rsidRPr="00250A7F">
        <w:rPr>
          <w:rFonts w:eastAsia="Times New Roman"/>
          <w:b/>
          <w:bCs/>
          <w:sz w:val="24"/>
          <w:szCs w:val="24"/>
        </w:rPr>
        <w:t>Наказ</w:t>
      </w:r>
      <w:r w:rsidR="00250A7F">
        <w:rPr>
          <w:rFonts w:eastAsia="Times New Roman"/>
          <w:b/>
          <w:bCs/>
          <w:sz w:val="24"/>
          <w:szCs w:val="24"/>
        </w:rPr>
        <w:t>ом</w:t>
      </w:r>
      <w:r w:rsidRPr="00250A7F">
        <w:rPr>
          <w:rFonts w:eastAsia="Times New Roman"/>
          <w:b/>
          <w:bCs/>
          <w:sz w:val="24"/>
          <w:szCs w:val="24"/>
        </w:rPr>
        <w:t xml:space="preserve"> Директора </w:t>
      </w:r>
    </w:p>
    <w:p w:rsidR="0096266A" w:rsidRPr="00250A7F" w:rsidRDefault="0096266A" w:rsidP="00170A0E">
      <w:pPr>
        <w:ind w:left="6080"/>
        <w:rPr>
          <w:sz w:val="20"/>
          <w:szCs w:val="20"/>
        </w:rPr>
      </w:pPr>
      <w:r w:rsidRPr="00250A7F">
        <w:rPr>
          <w:rFonts w:eastAsia="Times New Roman"/>
          <w:b/>
          <w:bCs/>
          <w:sz w:val="24"/>
          <w:szCs w:val="24"/>
        </w:rPr>
        <w:t xml:space="preserve">ТДВ «Експрес Страхування» № </w:t>
      </w:r>
      <w:r w:rsidR="00170A0E">
        <w:rPr>
          <w:rFonts w:eastAsia="Times New Roman"/>
          <w:b/>
          <w:bCs/>
          <w:sz w:val="24"/>
          <w:szCs w:val="24"/>
        </w:rPr>
        <w:t>6/2/22</w:t>
      </w:r>
      <w:r w:rsidR="00DC3D2D" w:rsidRPr="00250A7F">
        <w:rPr>
          <w:rFonts w:eastAsia="Times New Roman"/>
          <w:b/>
          <w:bCs/>
          <w:sz w:val="24"/>
          <w:szCs w:val="24"/>
        </w:rPr>
        <w:t xml:space="preserve"> від </w:t>
      </w:r>
      <w:r w:rsidR="00170A0E">
        <w:rPr>
          <w:rFonts w:eastAsia="Times New Roman"/>
          <w:b/>
          <w:bCs/>
          <w:sz w:val="24"/>
          <w:szCs w:val="24"/>
        </w:rPr>
        <w:t xml:space="preserve">31.05.2022 </w:t>
      </w:r>
      <w:r w:rsidRPr="00250A7F">
        <w:rPr>
          <w:rFonts w:eastAsia="Times New Roman"/>
          <w:b/>
          <w:bCs/>
          <w:sz w:val="24"/>
          <w:szCs w:val="24"/>
        </w:rPr>
        <w:t>р</w:t>
      </w:r>
      <w:r w:rsidR="00170A0E">
        <w:rPr>
          <w:rFonts w:eastAsia="Times New Roman"/>
          <w:b/>
          <w:bCs/>
          <w:sz w:val="24"/>
          <w:szCs w:val="24"/>
        </w:rPr>
        <w:t>.</w:t>
      </w:r>
    </w:p>
    <w:p w:rsidR="0096266A" w:rsidRPr="00250A7F" w:rsidRDefault="0096266A" w:rsidP="00170A0E">
      <w:pPr>
        <w:rPr>
          <w:sz w:val="24"/>
          <w:szCs w:val="24"/>
        </w:rPr>
      </w:pPr>
    </w:p>
    <w:p w:rsidR="0096266A" w:rsidRPr="00250A7F" w:rsidRDefault="0096266A" w:rsidP="00170A0E">
      <w:pPr>
        <w:rPr>
          <w:sz w:val="24"/>
          <w:szCs w:val="24"/>
        </w:rPr>
      </w:pPr>
    </w:p>
    <w:p w:rsidR="0096266A" w:rsidRPr="00250A7F" w:rsidRDefault="0096266A" w:rsidP="00170A0E">
      <w:pPr>
        <w:ind w:right="-259"/>
        <w:jc w:val="center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>Порядок</w:t>
      </w:r>
    </w:p>
    <w:p w:rsidR="0096266A" w:rsidRPr="00250A7F" w:rsidRDefault="0096266A" w:rsidP="00170A0E">
      <w:pPr>
        <w:ind w:right="-259"/>
        <w:jc w:val="center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>застосування коригуючого коефіцієнта бонус-малус під час укладання</w:t>
      </w:r>
    </w:p>
    <w:p w:rsidR="0096266A" w:rsidRPr="00250A7F" w:rsidRDefault="0096266A" w:rsidP="00170A0E">
      <w:pPr>
        <w:ind w:right="-259"/>
        <w:jc w:val="center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>договорів обов’язкового страхування цивільно-правової</w:t>
      </w:r>
    </w:p>
    <w:p w:rsidR="0096266A" w:rsidRDefault="0096266A" w:rsidP="00170A0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250A7F">
        <w:rPr>
          <w:rFonts w:eastAsia="Times New Roman"/>
          <w:b/>
          <w:bCs/>
          <w:sz w:val="28"/>
          <w:szCs w:val="28"/>
        </w:rPr>
        <w:t>відповідальності власників наземних транспортних засобів</w:t>
      </w:r>
    </w:p>
    <w:p w:rsidR="0096266A" w:rsidRPr="00250A7F" w:rsidRDefault="0096266A" w:rsidP="00170A0E">
      <w:pPr>
        <w:rPr>
          <w:sz w:val="24"/>
          <w:szCs w:val="24"/>
        </w:rPr>
      </w:pPr>
    </w:p>
    <w:p w:rsidR="0096266A" w:rsidRPr="00250A7F" w:rsidRDefault="0096266A" w:rsidP="00170A0E">
      <w:pPr>
        <w:numPr>
          <w:ilvl w:val="0"/>
          <w:numId w:val="1"/>
        </w:numPr>
        <w:tabs>
          <w:tab w:val="left" w:pos="4120"/>
        </w:tabs>
        <w:ind w:left="4120" w:hanging="361"/>
        <w:rPr>
          <w:rFonts w:eastAsia="Times New Roman"/>
          <w:b/>
          <w:bCs/>
          <w:sz w:val="28"/>
          <w:szCs w:val="28"/>
        </w:rPr>
      </w:pPr>
      <w:r w:rsidRPr="00250A7F">
        <w:rPr>
          <w:rFonts w:eastAsia="Times New Roman"/>
          <w:b/>
          <w:bCs/>
          <w:sz w:val="28"/>
          <w:szCs w:val="28"/>
        </w:rPr>
        <w:t>Загальні положення</w:t>
      </w:r>
    </w:p>
    <w:p w:rsidR="0096266A" w:rsidRPr="00170A0E" w:rsidRDefault="0096266A" w:rsidP="00170A0E">
      <w:pPr>
        <w:rPr>
          <w:sz w:val="14"/>
          <w:szCs w:val="24"/>
        </w:rPr>
      </w:pPr>
    </w:p>
    <w:p w:rsidR="0096266A" w:rsidRPr="00250A7F" w:rsidRDefault="0096266A" w:rsidP="00170A0E">
      <w:pPr>
        <w:ind w:left="260"/>
        <w:jc w:val="both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1.1. </w:t>
      </w:r>
      <w:r w:rsidRPr="00250A7F">
        <w:rPr>
          <w:rFonts w:eastAsia="Times New Roman"/>
          <w:sz w:val="28"/>
          <w:szCs w:val="28"/>
        </w:rPr>
        <w:t>Цей Порядок розроблено відповідно до Закону України «Про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 xml:space="preserve">обов’язкове страхування цивільно-правової відповідальності власників наземних транспортних засобів» (далі – Закон), </w:t>
      </w:r>
      <w:hyperlink r:id="rId7" w:anchor="n14" w:history="1">
        <w:r w:rsidR="00ED0E0E" w:rsidRPr="00ED0E0E">
          <w:rPr>
            <w:rFonts w:eastAsia="Times New Roman"/>
            <w:sz w:val="28"/>
            <w:szCs w:val="28"/>
          </w:rPr>
          <w:t>Положення про перелік, значення та порядок застосування коригуючих коефіцієнтів під час укладання страховиками договорів обов'язкового страхування цивільно-правової відповідальності власників наземних транспортних засобів</w:t>
        </w:r>
      </w:hyperlink>
      <w:r w:rsidR="00ED0E0E" w:rsidRPr="00ED0E0E">
        <w:rPr>
          <w:rFonts w:eastAsia="Times New Roman"/>
          <w:sz w:val="28"/>
          <w:szCs w:val="28"/>
        </w:rPr>
        <w:t>, затвердженого Постановою Правління Національного банку України від 30.05.2022 р. № 108</w:t>
      </w:r>
      <w:r w:rsidR="00ED0E0E">
        <w:rPr>
          <w:rFonts w:eastAsia="Times New Roman"/>
          <w:sz w:val="28"/>
          <w:szCs w:val="28"/>
        </w:rPr>
        <w:t xml:space="preserve"> (надалі </w:t>
      </w:r>
      <w:r w:rsidR="00ED0E0E" w:rsidRPr="00250A7F">
        <w:rPr>
          <w:rFonts w:eastAsia="Times New Roman"/>
          <w:sz w:val="28"/>
          <w:szCs w:val="28"/>
        </w:rPr>
        <w:t>–</w:t>
      </w:r>
      <w:r w:rsidR="00ED0E0E">
        <w:rPr>
          <w:rFonts w:eastAsia="Times New Roman"/>
          <w:sz w:val="28"/>
          <w:szCs w:val="28"/>
        </w:rPr>
        <w:t xml:space="preserve"> Положення НБУ)</w:t>
      </w:r>
      <w:r w:rsidRPr="00250A7F">
        <w:rPr>
          <w:rFonts w:eastAsia="Times New Roman"/>
          <w:sz w:val="28"/>
          <w:szCs w:val="28"/>
        </w:rPr>
        <w:t>, інших нормативних актів, та встановлює порядок і умови застосування коригуючого коефіцієнта бонус-малус під час укладання договорів обов’язкового страхування цивільно-правової відповідальності власників наземних транспортних засобів.</w:t>
      </w:r>
    </w:p>
    <w:p w:rsidR="0096266A" w:rsidRPr="00250A7F" w:rsidRDefault="0096266A" w:rsidP="00170A0E">
      <w:pPr>
        <w:ind w:left="260"/>
        <w:rPr>
          <w:sz w:val="24"/>
          <w:szCs w:val="24"/>
        </w:rPr>
      </w:pPr>
    </w:p>
    <w:p w:rsidR="0096266A" w:rsidRDefault="0096266A" w:rsidP="00170A0E">
      <w:pPr>
        <w:ind w:left="260"/>
        <w:jc w:val="both"/>
        <w:rPr>
          <w:rFonts w:eastAsia="Times New Roman"/>
          <w:sz w:val="28"/>
          <w:szCs w:val="28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1.2. </w:t>
      </w:r>
      <w:r w:rsidRPr="00250A7F">
        <w:rPr>
          <w:rFonts w:eastAsia="Times New Roman"/>
          <w:sz w:val="28"/>
          <w:szCs w:val="28"/>
        </w:rPr>
        <w:t>Порядок є внутрішнім документом Товариства з додатковою відповідальністю «Експрес Страхування» (далі – Товариство) та є обов’язковим для виконання всім</w:t>
      </w:r>
      <w:r w:rsidR="00F9639F" w:rsidRPr="00250A7F">
        <w:rPr>
          <w:rFonts w:eastAsia="Times New Roman"/>
          <w:sz w:val="28"/>
          <w:szCs w:val="28"/>
        </w:rPr>
        <w:t>а працівниками Товариства, які  оформлюють договори</w:t>
      </w:r>
      <w:r w:rsidRPr="00250A7F">
        <w:rPr>
          <w:rFonts w:eastAsia="Times New Roman"/>
          <w:sz w:val="28"/>
          <w:szCs w:val="28"/>
        </w:rPr>
        <w:t xml:space="preserve"> обов’язкового страхування цивільно-правової відповідальності власників наземних транспортних засобів</w:t>
      </w:r>
      <w:r w:rsidR="00F9639F" w:rsidRPr="00250A7F">
        <w:rPr>
          <w:rFonts w:eastAsia="Times New Roman"/>
          <w:sz w:val="28"/>
          <w:szCs w:val="28"/>
        </w:rPr>
        <w:t>, а також страховими посередниками  Товариства.</w:t>
      </w:r>
    </w:p>
    <w:p w:rsidR="00170A0E" w:rsidRPr="00170A0E" w:rsidRDefault="00170A0E" w:rsidP="00170A0E">
      <w:pPr>
        <w:ind w:left="260"/>
        <w:jc w:val="both"/>
        <w:rPr>
          <w:sz w:val="24"/>
          <w:szCs w:val="20"/>
        </w:rPr>
      </w:pPr>
    </w:p>
    <w:p w:rsidR="0096266A" w:rsidRPr="00250A7F" w:rsidRDefault="0096266A" w:rsidP="00170A0E">
      <w:pPr>
        <w:ind w:left="260"/>
        <w:jc w:val="both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1.3. </w:t>
      </w:r>
      <w:r w:rsidRPr="00250A7F">
        <w:rPr>
          <w:rFonts w:eastAsia="Times New Roman"/>
          <w:sz w:val="28"/>
          <w:szCs w:val="28"/>
        </w:rPr>
        <w:t>Метою цього Порядку є заохочення безаварійної експлуатації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транспортних засобів при укладанні договорів обов'язкового страхування цивільно-правової відповідальності більше ніж на півроку.</w:t>
      </w:r>
    </w:p>
    <w:p w:rsidR="0096266A" w:rsidRPr="00250A7F" w:rsidRDefault="0096266A" w:rsidP="00170A0E">
      <w:pPr>
        <w:ind w:left="260"/>
        <w:rPr>
          <w:sz w:val="24"/>
          <w:szCs w:val="24"/>
        </w:rPr>
      </w:pPr>
    </w:p>
    <w:p w:rsidR="0096266A" w:rsidRPr="00250A7F" w:rsidRDefault="0096266A" w:rsidP="00170A0E">
      <w:pPr>
        <w:ind w:left="260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1.4. </w:t>
      </w:r>
      <w:r w:rsidRPr="00250A7F">
        <w:rPr>
          <w:rFonts w:eastAsia="Times New Roman"/>
          <w:sz w:val="28"/>
          <w:szCs w:val="28"/>
        </w:rPr>
        <w:t>У цьому Порядку терміни вживаються у такому значенні:</w:t>
      </w:r>
    </w:p>
    <w:p w:rsidR="0096266A" w:rsidRPr="00250A7F" w:rsidRDefault="0096266A" w:rsidP="00170A0E">
      <w:pPr>
        <w:rPr>
          <w:sz w:val="24"/>
          <w:szCs w:val="24"/>
        </w:rPr>
      </w:pPr>
    </w:p>
    <w:p w:rsidR="0096266A" w:rsidRPr="00250A7F" w:rsidRDefault="0096266A" w:rsidP="00170A0E">
      <w:pPr>
        <w:ind w:left="260" w:firstLine="708"/>
        <w:jc w:val="both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бонус-малус </w:t>
      </w:r>
      <w:r w:rsidRPr="00250A7F">
        <w:rPr>
          <w:rFonts w:eastAsia="Times New Roman"/>
          <w:sz w:val="28"/>
          <w:szCs w:val="28"/>
        </w:rPr>
        <w:t>-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коригуючий коефіцієнт, за допомогою якого страховик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коригує страхову премію залежно від того, чи були страхові випадки по відношенню до об’єкта страхування у певному проміжку часу.</w:t>
      </w:r>
    </w:p>
    <w:p w:rsidR="0096266A" w:rsidRPr="00250A7F" w:rsidRDefault="0096266A" w:rsidP="00170A0E">
      <w:pPr>
        <w:rPr>
          <w:sz w:val="24"/>
          <w:szCs w:val="24"/>
        </w:rPr>
      </w:pPr>
    </w:p>
    <w:p w:rsidR="0096266A" w:rsidRPr="00250A7F" w:rsidRDefault="0096266A" w:rsidP="00170A0E">
      <w:pPr>
        <w:ind w:left="260" w:firstLine="708"/>
        <w:jc w:val="both"/>
        <w:rPr>
          <w:rFonts w:eastAsia="Times New Roman"/>
          <w:sz w:val="28"/>
          <w:szCs w:val="28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ЦБД МТСБУ </w:t>
      </w:r>
      <w:r w:rsidRPr="00250A7F">
        <w:rPr>
          <w:rFonts w:eastAsia="Times New Roman"/>
          <w:sz w:val="28"/>
          <w:szCs w:val="28"/>
        </w:rPr>
        <w:t>– єдина централізована база даних Моторного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(транспортного) страхового бюро України (МТСБУ) щодо обов’язкового страхування цивільно-правової відповідальності власників наземних транспортних засобів;</w:t>
      </w:r>
    </w:p>
    <w:p w:rsidR="0096266A" w:rsidRPr="00250A7F" w:rsidRDefault="0096266A" w:rsidP="00170A0E">
      <w:pPr>
        <w:ind w:left="284" w:right="-259" w:firstLine="709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договір ОСЦПВВНТЗ </w:t>
      </w:r>
      <w:r w:rsidRPr="00250A7F">
        <w:rPr>
          <w:rFonts w:eastAsia="Times New Roman"/>
          <w:sz w:val="28"/>
          <w:szCs w:val="28"/>
        </w:rPr>
        <w:t>–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договір обов’язкового страхування цивільно-правової відповідальності власників наземних транспортних засобів;</w:t>
      </w:r>
    </w:p>
    <w:p w:rsidR="0096266A" w:rsidRPr="00250A7F" w:rsidRDefault="0096266A" w:rsidP="00170A0E">
      <w:pPr>
        <w:rPr>
          <w:sz w:val="20"/>
          <w:szCs w:val="20"/>
        </w:rPr>
      </w:pPr>
    </w:p>
    <w:p w:rsidR="0096266A" w:rsidRPr="00250A7F" w:rsidRDefault="0096266A" w:rsidP="00170A0E">
      <w:pPr>
        <w:ind w:left="260" w:firstLine="708"/>
        <w:jc w:val="both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страхувальники </w:t>
      </w:r>
      <w:r w:rsidRPr="00250A7F">
        <w:rPr>
          <w:rFonts w:eastAsia="Times New Roman"/>
          <w:sz w:val="28"/>
          <w:szCs w:val="28"/>
        </w:rPr>
        <w:t>-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юридичні особи та дієздатні громадяни,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що уклали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із страховиками договори обов'язкового страхування цивільно-правової відповідальності за шкоду, заподіяну життю, здоров'ю, майну третіх осіб під час експлуатації наземного транспортного засобу.</w:t>
      </w:r>
    </w:p>
    <w:p w:rsidR="0096266A" w:rsidRPr="00250A7F" w:rsidRDefault="0096266A" w:rsidP="00170A0E">
      <w:pPr>
        <w:rPr>
          <w:sz w:val="20"/>
          <w:szCs w:val="20"/>
        </w:rPr>
      </w:pPr>
    </w:p>
    <w:p w:rsidR="0096266A" w:rsidRPr="00250A7F" w:rsidRDefault="0096266A" w:rsidP="00170A0E">
      <w:pPr>
        <w:numPr>
          <w:ilvl w:val="0"/>
          <w:numId w:val="2"/>
        </w:numPr>
        <w:tabs>
          <w:tab w:val="left" w:pos="1900"/>
        </w:tabs>
        <w:ind w:left="1900" w:hanging="361"/>
        <w:rPr>
          <w:rFonts w:eastAsia="Times New Roman"/>
          <w:b/>
          <w:bCs/>
          <w:sz w:val="28"/>
          <w:szCs w:val="28"/>
        </w:rPr>
      </w:pPr>
      <w:r w:rsidRPr="00250A7F">
        <w:rPr>
          <w:rFonts w:eastAsia="Times New Roman"/>
          <w:b/>
          <w:bCs/>
          <w:sz w:val="28"/>
          <w:szCs w:val="28"/>
        </w:rPr>
        <w:t>Загальні умови застосування коригуючого коефіцієнта</w:t>
      </w:r>
    </w:p>
    <w:p w:rsidR="0096266A" w:rsidRPr="00250A7F" w:rsidRDefault="0096266A" w:rsidP="00170A0E">
      <w:pPr>
        <w:ind w:left="4620"/>
        <w:rPr>
          <w:rFonts w:eastAsia="Times New Roman"/>
          <w:b/>
          <w:bCs/>
          <w:sz w:val="28"/>
          <w:szCs w:val="28"/>
        </w:rPr>
      </w:pPr>
      <w:r w:rsidRPr="00250A7F">
        <w:rPr>
          <w:rFonts w:eastAsia="Times New Roman"/>
          <w:b/>
          <w:bCs/>
          <w:sz w:val="28"/>
          <w:szCs w:val="28"/>
        </w:rPr>
        <w:t>бонус-малус</w:t>
      </w:r>
    </w:p>
    <w:p w:rsidR="0096266A" w:rsidRPr="00170A0E" w:rsidRDefault="0096266A" w:rsidP="00170A0E">
      <w:pPr>
        <w:rPr>
          <w:sz w:val="12"/>
          <w:szCs w:val="20"/>
        </w:rPr>
      </w:pPr>
    </w:p>
    <w:p w:rsidR="0096266A" w:rsidRPr="00250A7F" w:rsidRDefault="0096266A" w:rsidP="00170A0E">
      <w:pPr>
        <w:ind w:left="260"/>
        <w:jc w:val="both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2.1. </w:t>
      </w:r>
      <w:r w:rsidRPr="00250A7F">
        <w:rPr>
          <w:rFonts w:eastAsia="Times New Roman"/>
          <w:sz w:val="28"/>
          <w:szCs w:val="28"/>
        </w:rPr>
        <w:t>Коефіцієнт бонус-малус застосовується лише при укладанні договорів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ОСЦПВВНТЗ на строк більше ніж півроку</w:t>
      </w:r>
      <w:r w:rsidR="00C7140B">
        <w:rPr>
          <w:rFonts w:eastAsia="Times New Roman"/>
          <w:sz w:val="28"/>
          <w:szCs w:val="28"/>
        </w:rPr>
        <w:t xml:space="preserve"> </w:t>
      </w:r>
      <w:r w:rsidR="00C7140B" w:rsidRPr="00C7140B">
        <w:rPr>
          <w:rFonts w:eastAsia="Times New Roman"/>
          <w:sz w:val="28"/>
          <w:szCs w:val="28"/>
        </w:rPr>
        <w:t>за наявності відповідних підтвердних документів у страхувальника</w:t>
      </w:r>
      <w:r w:rsidRPr="00250A7F">
        <w:rPr>
          <w:rFonts w:eastAsia="Times New Roman"/>
          <w:sz w:val="28"/>
          <w:szCs w:val="28"/>
        </w:rPr>
        <w:t>.</w:t>
      </w:r>
    </w:p>
    <w:p w:rsidR="0096266A" w:rsidRPr="00250A7F" w:rsidRDefault="0096266A" w:rsidP="00170A0E">
      <w:pPr>
        <w:rPr>
          <w:sz w:val="20"/>
          <w:szCs w:val="20"/>
        </w:rPr>
      </w:pPr>
    </w:p>
    <w:p w:rsidR="0096266A" w:rsidRPr="00250A7F" w:rsidRDefault="0096266A" w:rsidP="00170A0E">
      <w:pPr>
        <w:ind w:left="260"/>
        <w:jc w:val="both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2.2. </w:t>
      </w:r>
      <w:r w:rsidRPr="00250A7F">
        <w:rPr>
          <w:rFonts w:eastAsia="Times New Roman"/>
          <w:sz w:val="28"/>
          <w:szCs w:val="28"/>
        </w:rPr>
        <w:t>При укладанні договору ОСЦПВВНТЗ страхувальнику присвоюється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клас залежно від частоти страхових випадків, які виникли з вини особи, відповідальність якої застрахована.</w:t>
      </w:r>
    </w:p>
    <w:p w:rsidR="0096266A" w:rsidRPr="00250A7F" w:rsidRDefault="0096266A" w:rsidP="00170A0E">
      <w:pPr>
        <w:rPr>
          <w:sz w:val="20"/>
          <w:szCs w:val="20"/>
        </w:rPr>
      </w:pPr>
    </w:p>
    <w:p w:rsidR="0096266A" w:rsidRPr="00250A7F" w:rsidRDefault="0096266A" w:rsidP="00170A0E">
      <w:pPr>
        <w:ind w:left="260"/>
        <w:jc w:val="both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2.3. </w:t>
      </w:r>
      <w:r w:rsidRPr="00250A7F">
        <w:rPr>
          <w:rFonts w:eastAsia="Times New Roman"/>
          <w:sz w:val="28"/>
          <w:szCs w:val="28"/>
        </w:rPr>
        <w:t>Якщо договір ОСЦПВВНТЗ страхувальником укладається вперше,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то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страхувальнику присвоюється клас</w:t>
      </w:r>
      <w:r w:rsidR="00211355" w:rsidRPr="00250A7F">
        <w:rPr>
          <w:rFonts w:eastAsia="Times New Roman"/>
          <w:sz w:val="28"/>
          <w:szCs w:val="28"/>
        </w:rPr>
        <w:t xml:space="preserve"> 3</w:t>
      </w:r>
      <w:r w:rsidRPr="00250A7F">
        <w:rPr>
          <w:rFonts w:eastAsia="Times New Roman"/>
          <w:sz w:val="28"/>
          <w:szCs w:val="28"/>
        </w:rPr>
        <w:t>.</w:t>
      </w:r>
    </w:p>
    <w:p w:rsidR="0096266A" w:rsidRPr="00250A7F" w:rsidRDefault="0096266A" w:rsidP="00170A0E">
      <w:pPr>
        <w:rPr>
          <w:sz w:val="20"/>
          <w:szCs w:val="20"/>
        </w:rPr>
      </w:pPr>
    </w:p>
    <w:p w:rsidR="0096266A" w:rsidRPr="00250A7F" w:rsidRDefault="0096266A" w:rsidP="00170A0E">
      <w:pPr>
        <w:ind w:left="260"/>
        <w:jc w:val="both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2.4. </w:t>
      </w:r>
      <w:r w:rsidRPr="00250A7F">
        <w:rPr>
          <w:rFonts w:eastAsia="Times New Roman"/>
          <w:sz w:val="28"/>
          <w:szCs w:val="28"/>
        </w:rPr>
        <w:t>Клас,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який застосовується Товариством при укладанні договору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 xml:space="preserve">ОСЦПВВНТЗ, залежить від кількості страхових випадків, які виникали з вини страхувальника в період дії попередніх договорів ОСЦПВВНТЗ. Враховуючи кількість страхових випадків, при укладанні з таким страхувальником договору на новий строк, застосовується підвищуючий коефіцієнт страхового тарифу з присвоєнням більш низького класу і до найнижчого класу М. За відсутності страхових випадків, які виникли з вини страхувальника, безаварійної експлуатації транспортного засобу, що забезпечується, страхувальнику зберігається клас </w:t>
      </w:r>
      <w:r w:rsidR="00211355" w:rsidRPr="00250A7F">
        <w:rPr>
          <w:rFonts w:eastAsia="Times New Roman"/>
          <w:sz w:val="28"/>
          <w:szCs w:val="28"/>
        </w:rPr>
        <w:t>3</w:t>
      </w:r>
      <w:r w:rsidRPr="00250A7F">
        <w:rPr>
          <w:rFonts w:eastAsia="Times New Roman"/>
          <w:sz w:val="28"/>
          <w:szCs w:val="28"/>
        </w:rPr>
        <w:t>.</w:t>
      </w:r>
    </w:p>
    <w:p w:rsidR="0096266A" w:rsidRPr="00250A7F" w:rsidRDefault="0096266A" w:rsidP="00170A0E">
      <w:pPr>
        <w:rPr>
          <w:sz w:val="20"/>
          <w:szCs w:val="20"/>
        </w:rPr>
      </w:pPr>
    </w:p>
    <w:p w:rsidR="0096266A" w:rsidRPr="00250A7F" w:rsidRDefault="0096266A" w:rsidP="00170A0E">
      <w:pPr>
        <w:ind w:left="260"/>
        <w:jc w:val="both"/>
        <w:rPr>
          <w:rFonts w:eastAsia="Times New Roman"/>
          <w:sz w:val="28"/>
          <w:szCs w:val="28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2.5. </w:t>
      </w:r>
      <w:r w:rsidRPr="00250A7F">
        <w:rPr>
          <w:rFonts w:eastAsia="Times New Roman"/>
          <w:sz w:val="28"/>
          <w:szCs w:val="28"/>
        </w:rPr>
        <w:t>Наявність чи відсутність страхових випадків перевіряється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Товариством на підставі документів та даних, які надаються страхувальником, в тому числі й з використанням сервісів ЦБД МТСБУ.</w:t>
      </w:r>
    </w:p>
    <w:p w:rsidR="0096266A" w:rsidRPr="00250A7F" w:rsidRDefault="0096266A" w:rsidP="00170A0E">
      <w:pPr>
        <w:ind w:left="260"/>
        <w:jc w:val="both"/>
        <w:rPr>
          <w:rFonts w:eastAsia="Times New Roman"/>
          <w:sz w:val="28"/>
          <w:szCs w:val="28"/>
        </w:rPr>
      </w:pPr>
    </w:p>
    <w:p w:rsidR="0096266A" w:rsidRPr="004F30C3" w:rsidRDefault="0096266A" w:rsidP="004F30C3">
      <w:pPr>
        <w:numPr>
          <w:ilvl w:val="0"/>
          <w:numId w:val="3"/>
        </w:numPr>
        <w:tabs>
          <w:tab w:val="left" w:pos="567"/>
          <w:tab w:val="left" w:pos="1660"/>
        </w:tabs>
        <w:ind w:left="284"/>
        <w:jc w:val="center"/>
        <w:rPr>
          <w:rFonts w:eastAsia="Times New Roman"/>
          <w:b/>
          <w:bCs/>
          <w:sz w:val="28"/>
          <w:szCs w:val="28"/>
        </w:rPr>
      </w:pPr>
      <w:r w:rsidRPr="004F30C3">
        <w:rPr>
          <w:rFonts w:eastAsia="Times New Roman"/>
          <w:b/>
          <w:bCs/>
          <w:sz w:val="28"/>
          <w:szCs w:val="28"/>
        </w:rPr>
        <w:t>Особливості застосування коригуючого коефіцієнта бонус-малус</w:t>
      </w:r>
    </w:p>
    <w:p w:rsidR="0096266A" w:rsidRPr="00170A0E" w:rsidRDefault="0096266A" w:rsidP="00170A0E">
      <w:pPr>
        <w:rPr>
          <w:sz w:val="14"/>
          <w:szCs w:val="20"/>
        </w:rPr>
      </w:pPr>
    </w:p>
    <w:p w:rsidR="0096266A" w:rsidRDefault="0096266A" w:rsidP="00170A0E">
      <w:pPr>
        <w:ind w:left="260"/>
        <w:jc w:val="both"/>
        <w:rPr>
          <w:rFonts w:eastAsia="Times New Roman"/>
          <w:sz w:val="28"/>
          <w:szCs w:val="28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3.1. </w:t>
      </w:r>
      <w:r w:rsidRPr="00250A7F">
        <w:rPr>
          <w:rFonts w:eastAsia="Times New Roman"/>
          <w:sz w:val="28"/>
          <w:szCs w:val="28"/>
        </w:rPr>
        <w:t>Для страхувальників,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які укладають договір ОСЦПВВНТЗ не вперше,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 xml:space="preserve">та які не мали страхових випадків, які виникли з їх вини, протягом попередніх періодів страхування, що підтверджено відповідними документами, присвоюється клас </w:t>
      </w:r>
      <w:r w:rsidR="00211355" w:rsidRPr="00250A7F">
        <w:rPr>
          <w:rFonts w:eastAsia="Times New Roman"/>
          <w:sz w:val="28"/>
          <w:szCs w:val="28"/>
        </w:rPr>
        <w:t>3</w:t>
      </w:r>
      <w:r w:rsidR="00BD4491" w:rsidRPr="00250A7F">
        <w:rPr>
          <w:rFonts w:eastAsia="Times New Roman"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коригуючого коефіцієнта бонус-малус. При цьому підтверджуючим документом може бути попередній договір ОСЦПВВНТЗ.</w:t>
      </w:r>
    </w:p>
    <w:p w:rsidR="00170A0E" w:rsidRPr="00250A7F" w:rsidRDefault="00170A0E" w:rsidP="00170A0E">
      <w:pPr>
        <w:ind w:left="260"/>
        <w:jc w:val="both"/>
        <w:rPr>
          <w:sz w:val="20"/>
          <w:szCs w:val="20"/>
        </w:rPr>
      </w:pPr>
    </w:p>
    <w:p w:rsidR="0096266A" w:rsidRDefault="00170A0E" w:rsidP="00170A0E">
      <w:pPr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 </w:t>
      </w:r>
      <w:r w:rsidRPr="00250A7F">
        <w:rPr>
          <w:rFonts w:eastAsia="Times New Roman"/>
          <w:sz w:val="28"/>
          <w:szCs w:val="28"/>
        </w:rPr>
        <w:t>Клас коефіцієнта бонус-малус на початок строку страхування для страхувальників, які укладають договір ОСЦПВВНТЗ не вперше та які мали страхові випадки, які виникли з їх вини, протягом попередніх періодів страхування, залежить від кількості здійснених страхових виплат протягом попередніх періодів страхування та застосовується відповідно до наступної Схеми</w:t>
      </w:r>
      <w:r w:rsidRPr="00250A7F">
        <w:rPr>
          <w:sz w:val="20"/>
          <w:szCs w:val="20"/>
        </w:rPr>
        <w:t xml:space="preserve"> </w:t>
      </w:r>
      <w:r w:rsidRPr="00250A7F">
        <w:rPr>
          <w:rFonts w:eastAsia="Times New Roman"/>
          <w:sz w:val="28"/>
          <w:szCs w:val="28"/>
        </w:rPr>
        <w:t>застосування коригуючого коефіцієнта бонус-малус під час укладання договорів обов’язкового страхування цивільно-правової відповідальності власників наземних транспортних засобів:</w:t>
      </w:r>
    </w:p>
    <w:p w:rsidR="00170A0E" w:rsidRPr="00250A7F" w:rsidRDefault="00170A0E" w:rsidP="00170A0E">
      <w:pPr>
        <w:ind w:left="284"/>
        <w:jc w:val="both"/>
        <w:sectPr w:rsidR="00170A0E" w:rsidRPr="00250A7F">
          <w:pgSz w:w="11900" w:h="16838"/>
          <w:pgMar w:top="421" w:right="986" w:bottom="928" w:left="1440" w:header="0" w:footer="0" w:gutter="0"/>
          <w:cols w:space="720" w:equalWidth="0">
            <w:col w:w="9480"/>
          </w:cols>
        </w:sectPr>
      </w:pPr>
    </w:p>
    <w:p w:rsidR="0096266A" w:rsidRPr="00250A7F" w:rsidRDefault="0096266A" w:rsidP="00170A0E">
      <w:pPr>
        <w:ind w:right="-139"/>
        <w:jc w:val="center"/>
        <w:rPr>
          <w:sz w:val="20"/>
          <w:szCs w:val="20"/>
        </w:rPr>
      </w:pPr>
      <w:bookmarkStart w:id="1" w:name="page3"/>
      <w:bookmarkEnd w:id="1"/>
      <w:r w:rsidRPr="00250A7F">
        <w:rPr>
          <w:rFonts w:ascii="Calibri" w:eastAsia="Calibri" w:hAnsi="Calibri" w:cs="Calibri"/>
        </w:rPr>
        <w:lastRenderedPageBreak/>
        <w:t>3</w:t>
      </w:r>
    </w:p>
    <w:p w:rsidR="0096266A" w:rsidRPr="00250A7F" w:rsidRDefault="0096266A" w:rsidP="00170A0E">
      <w:pPr>
        <w:spacing w:before="120" w:after="120"/>
        <w:rPr>
          <w:sz w:val="20"/>
          <w:szCs w:val="20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1357"/>
        <w:gridCol w:w="1640"/>
        <w:gridCol w:w="1640"/>
        <w:gridCol w:w="1640"/>
        <w:gridCol w:w="1621"/>
      </w:tblGrid>
      <w:tr w:rsidR="00DC3D2D" w:rsidRPr="00250A7F" w:rsidTr="00F85324">
        <w:trPr>
          <w:trHeight w:val="60"/>
        </w:trPr>
        <w:tc>
          <w:tcPr>
            <w:tcW w:w="96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bookmarkStart w:id="2" w:name="n37"/>
            <w:bookmarkEnd w:id="2"/>
            <w:r w:rsidRPr="00170A0E">
              <w:rPr>
                <w:rFonts w:eastAsia="Times New Roman"/>
                <w:szCs w:val="16"/>
                <w:lang w:eastAsia="ru-RU"/>
              </w:rPr>
              <w:t>Коригуючий коефіцієнт бонус-малус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клас на початок строку страхування</w:t>
            </w: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коригуючий коефіцієнт</w:t>
            </w:r>
          </w:p>
        </w:tc>
        <w:tc>
          <w:tcPr>
            <w:tcW w:w="65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клас після закінчення строку страхування з урахуванням наявності страхових випадків з вини страхувальника</w:t>
            </w:r>
          </w:p>
        </w:tc>
      </w:tr>
      <w:tr w:rsidR="00DC3D2D" w:rsidRPr="00250A7F" w:rsidTr="00F85324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3D2D" w:rsidRPr="00170A0E" w:rsidRDefault="00DC3D2D" w:rsidP="00170A0E">
            <w:pPr>
              <w:spacing w:before="120" w:after="120"/>
              <w:rPr>
                <w:rFonts w:eastAsia="Times New Roman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3D2D" w:rsidRPr="00170A0E" w:rsidRDefault="00DC3D2D" w:rsidP="00170A0E">
            <w:pPr>
              <w:spacing w:before="120" w:after="120"/>
              <w:rPr>
                <w:rFonts w:eastAsia="Times New Roman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0 виплат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 виплата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2 виплати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3 виплати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1,8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1,6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1,4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1,2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1,00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ED0E0E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0,99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ED0E0E" w:rsidP="00170A0E">
            <w:pPr>
              <w:spacing w:before="120" w:after="120"/>
              <w:jc w:val="center"/>
            </w:pPr>
            <w:r w:rsidRPr="00170A0E">
              <w:rPr>
                <w:rFonts w:eastAsia="Times New Roman"/>
                <w:szCs w:val="16"/>
                <w:lang w:eastAsia="ru-RU"/>
              </w:rPr>
              <w:t>0,98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6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ED0E0E" w:rsidP="00170A0E">
            <w:pPr>
              <w:spacing w:before="120" w:after="120"/>
              <w:jc w:val="center"/>
            </w:pPr>
            <w:r w:rsidRPr="00170A0E">
              <w:rPr>
                <w:rFonts w:eastAsia="Times New Roman"/>
                <w:szCs w:val="16"/>
                <w:lang w:eastAsia="ru-RU"/>
              </w:rPr>
              <w:t>0,97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7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ED0E0E" w:rsidP="00170A0E">
            <w:pPr>
              <w:spacing w:before="120" w:after="120"/>
              <w:jc w:val="center"/>
            </w:pPr>
            <w:r w:rsidRPr="00170A0E">
              <w:rPr>
                <w:rFonts w:eastAsia="Times New Roman"/>
                <w:szCs w:val="16"/>
                <w:lang w:eastAsia="ru-RU"/>
              </w:rPr>
              <w:t>0,96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8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ED0E0E" w:rsidP="00170A0E">
            <w:pPr>
              <w:spacing w:before="120" w:after="120"/>
              <w:jc w:val="center"/>
            </w:pPr>
            <w:r w:rsidRPr="00170A0E">
              <w:rPr>
                <w:rFonts w:eastAsia="Times New Roman"/>
                <w:szCs w:val="16"/>
                <w:lang w:eastAsia="ru-RU"/>
              </w:rPr>
              <w:t>0,95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9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ED0E0E" w:rsidP="00170A0E">
            <w:pPr>
              <w:spacing w:before="120" w:after="120"/>
              <w:jc w:val="center"/>
            </w:pPr>
            <w:r w:rsidRPr="00170A0E">
              <w:rPr>
                <w:rFonts w:eastAsia="Times New Roman"/>
                <w:szCs w:val="16"/>
                <w:lang w:eastAsia="ru-RU"/>
              </w:rPr>
              <w:t>0,94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ED0E0E" w:rsidP="00170A0E">
            <w:pPr>
              <w:spacing w:before="120" w:after="120"/>
              <w:jc w:val="center"/>
            </w:pPr>
            <w:r w:rsidRPr="00170A0E">
              <w:rPr>
                <w:rFonts w:eastAsia="Times New Roman"/>
                <w:szCs w:val="16"/>
                <w:lang w:eastAsia="ru-RU"/>
              </w:rPr>
              <w:t>0,93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ED0E0E" w:rsidP="00170A0E">
            <w:pPr>
              <w:spacing w:before="120" w:after="120"/>
              <w:jc w:val="center"/>
            </w:pPr>
            <w:r w:rsidRPr="00170A0E">
              <w:rPr>
                <w:rFonts w:eastAsia="Times New Roman"/>
                <w:szCs w:val="16"/>
                <w:lang w:eastAsia="ru-RU"/>
              </w:rPr>
              <w:t>0,92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ED0E0E" w:rsidP="00170A0E">
            <w:pPr>
              <w:spacing w:before="120" w:after="120"/>
              <w:jc w:val="center"/>
            </w:pPr>
            <w:r w:rsidRPr="00170A0E">
              <w:rPr>
                <w:rFonts w:eastAsia="Times New Roman"/>
                <w:szCs w:val="16"/>
                <w:lang w:eastAsia="ru-RU"/>
              </w:rPr>
              <w:t>0,91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ED0E0E" w:rsidP="00170A0E">
            <w:pPr>
              <w:spacing w:before="120" w:after="120"/>
              <w:jc w:val="center"/>
              <w:rPr>
                <w:rFonts w:eastAsia="Times New Roman"/>
                <w:szCs w:val="16"/>
                <w:lang w:val="ru-RU" w:eastAsia="ru-RU"/>
              </w:rPr>
            </w:pPr>
            <w:r w:rsidRPr="00170A0E">
              <w:rPr>
                <w:rFonts w:eastAsia="Times New Roman"/>
                <w:szCs w:val="16"/>
                <w:lang w:val="ru-RU" w:eastAsia="ru-RU"/>
              </w:rPr>
              <w:t>0,90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170A0E" w:rsidRDefault="00DC3D2D" w:rsidP="00170A0E">
            <w:pPr>
              <w:spacing w:before="120" w:after="120"/>
              <w:jc w:val="center"/>
              <w:rPr>
                <w:rFonts w:eastAsia="Times New Roman"/>
                <w:szCs w:val="16"/>
                <w:lang w:eastAsia="ru-RU"/>
              </w:rPr>
            </w:pPr>
            <w:r w:rsidRPr="00170A0E">
              <w:rPr>
                <w:rFonts w:eastAsia="Times New Roman"/>
                <w:szCs w:val="16"/>
                <w:lang w:eastAsia="ru-RU"/>
              </w:rPr>
              <w:t>1</w:t>
            </w:r>
          </w:p>
        </w:tc>
      </w:tr>
    </w:tbl>
    <w:p w:rsidR="0096266A" w:rsidRDefault="0096266A" w:rsidP="00170A0E">
      <w:pPr>
        <w:rPr>
          <w:sz w:val="20"/>
          <w:szCs w:val="20"/>
        </w:rPr>
      </w:pPr>
    </w:p>
    <w:p w:rsidR="00E2239D" w:rsidRPr="00250A7F" w:rsidRDefault="00E2239D" w:rsidP="00170A0E">
      <w:pPr>
        <w:rPr>
          <w:sz w:val="20"/>
          <w:szCs w:val="20"/>
        </w:rPr>
      </w:pPr>
    </w:p>
    <w:p w:rsidR="0096266A" w:rsidRPr="00250A7F" w:rsidRDefault="0096266A" w:rsidP="00170A0E">
      <w:pPr>
        <w:numPr>
          <w:ilvl w:val="0"/>
          <w:numId w:val="4"/>
        </w:numPr>
        <w:tabs>
          <w:tab w:val="left" w:pos="4260"/>
        </w:tabs>
        <w:ind w:left="4260" w:hanging="277"/>
        <w:rPr>
          <w:rFonts w:eastAsia="Times New Roman"/>
          <w:b/>
          <w:bCs/>
          <w:sz w:val="28"/>
          <w:szCs w:val="28"/>
        </w:rPr>
      </w:pPr>
      <w:r w:rsidRPr="00250A7F">
        <w:rPr>
          <w:rFonts w:eastAsia="Times New Roman"/>
          <w:b/>
          <w:bCs/>
          <w:sz w:val="28"/>
          <w:szCs w:val="28"/>
        </w:rPr>
        <w:t>Прикінцеві положення</w:t>
      </w:r>
    </w:p>
    <w:p w:rsidR="0096266A" w:rsidRPr="00250A7F" w:rsidRDefault="0096266A" w:rsidP="00170A0E">
      <w:pPr>
        <w:rPr>
          <w:sz w:val="20"/>
          <w:szCs w:val="20"/>
        </w:rPr>
      </w:pPr>
    </w:p>
    <w:p w:rsidR="0096266A" w:rsidRPr="00250A7F" w:rsidRDefault="0096266A" w:rsidP="00170A0E">
      <w:pPr>
        <w:ind w:left="260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4.1. </w:t>
      </w:r>
      <w:r w:rsidRPr="00250A7F">
        <w:rPr>
          <w:rFonts w:eastAsia="Times New Roman"/>
          <w:sz w:val="28"/>
          <w:szCs w:val="28"/>
        </w:rPr>
        <w:t>Цей Порядок набирає чинності з</w:t>
      </w:r>
      <w:r w:rsidR="004D2447">
        <w:rPr>
          <w:rFonts w:eastAsia="Times New Roman"/>
          <w:sz w:val="28"/>
          <w:szCs w:val="28"/>
        </w:rPr>
        <w:t xml:space="preserve"> 01 липня </w:t>
      </w:r>
      <w:r w:rsidR="004D2447" w:rsidRPr="004D2447">
        <w:rPr>
          <w:rFonts w:eastAsia="Times New Roman"/>
          <w:sz w:val="28"/>
          <w:szCs w:val="28"/>
        </w:rPr>
        <w:t>2022</w:t>
      </w:r>
      <w:r w:rsidR="00170A0E">
        <w:rPr>
          <w:rFonts w:eastAsia="Times New Roman"/>
          <w:sz w:val="28"/>
          <w:szCs w:val="28"/>
        </w:rPr>
        <w:t xml:space="preserve"> р</w:t>
      </w:r>
      <w:r w:rsidR="00E2239D">
        <w:rPr>
          <w:rFonts w:eastAsia="Times New Roman"/>
          <w:sz w:val="28"/>
          <w:szCs w:val="28"/>
        </w:rPr>
        <w:t>оку</w:t>
      </w:r>
      <w:r w:rsidRPr="00250A7F">
        <w:rPr>
          <w:rFonts w:eastAsia="Times New Roman"/>
          <w:sz w:val="28"/>
          <w:szCs w:val="28"/>
        </w:rPr>
        <w:t>.</w:t>
      </w:r>
    </w:p>
    <w:p w:rsidR="0096266A" w:rsidRPr="00250A7F" w:rsidRDefault="0096266A" w:rsidP="00170A0E">
      <w:pPr>
        <w:rPr>
          <w:sz w:val="20"/>
          <w:szCs w:val="20"/>
        </w:rPr>
      </w:pPr>
    </w:p>
    <w:p w:rsidR="0096266A" w:rsidRPr="00250A7F" w:rsidRDefault="0096266A" w:rsidP="00170A0E">
      <w:pPr>
        <w:ind w:left="260" w:right="40"/>
        <w:jc w:val="both"/>
        <w:rPr>
          <w:rFonts w:eastAsia="Times New Roman"/>
          <w:sz w:val="28"/>
          <w:szCs w:val="28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4.2. </w:t>
      </w:r>
      <w:r w:rsidRPr="00250A7F">
        <w:rPr>
          <w:rFonts w:eastAsia="Times New Roman"/>
          <w:sz w:val="28"/>
          <w:szCs w:val="28"/>
        </w:rPr>
        <w:t>Всі зміни та доповнення до цього Порядку оприлюднюються на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офіційному веб-сайті Товариства</w:t>
      </w:r>
      <w:r w:rsidR="00BD4491" w:rsidRPr="00250A7F">
        <w:rPr>
          <w:rFonts w:eastAsia="Times New Roman"/>
          <w:sz w:val="28"/>
          <w:szCs w:val="28"/>
        </w:rPr>
        <w:t xml:space="preserve"> за посиланням: </w:t>
      </w:r>
      <w:r w:rsidR="00BD4491" w:rsidRPr="00250A7F">
        <w:rPr>
          <w:rFonts w:eastAsia="Times New Roman"/>
          <w:sz w:val="28"/>
          <w:szCs w:val="28"/>
          <w:u w:val="single"/>
        </w:rPr>
        <w:t>https://www.express-insurance.com.ua</w:t>
      </w:r>
      <w:r w:rsidRPr="00250A7F">
        <w:rPr>
          <w:rFonts w:eastAsia="Times New Roman"/>
          <w:sz w:val="28"/>
          <w:szCs w:val="28"/>
        </w:rPr>
        <w:t xml:space="preserve"> та вступають в дію через 30 календарних днів з дня оприлюднення таких змін.</w:t>
      </w:r>
    </w:p>
    <w:p w:rsidR="0096266A" w:rsidRPr="00250A7F" w:rsidRDefault="0096266A" w:rsidP="00170A0E">
      <w:pPr>
        <w:ind w:left="260"/>
        <w:jc w:val="both"/>
        <w:rPr>
          <w:sz w:val="20"/>
          <w:szCs w:val="20"/>
        </w:rPr>
      </w:pPr>
    </w:p>
    <w:p w:rsidR="0096266A" w:rsidRPr="00250A7F" w:rsidRDefault="0096266A" w:rsidP="00170A0E">
      <w:pPr>
        <w:ind w:left="260" w:firstLine="708"/>
        <w:jc w:val="both"/>
        <w:rPr>
          <w:sz w:val="20"/>
          <w:szCs w:val="20"/>
        </w:rPr>
      </w:pPr>
    </w:p>
    <w:p w:rsidR="00211355" w:rsidRPr="00211355" w:rsidRDefault="00211355" w:rsidP="00170A0E">
      <w:pPr>
        <w:rPr>
          <w:lang w:val="ru-RU"/>
        </w:rPr>
      </w:pPr>
      <w:bookmarkStart w:id="3" w:name="_GoBack"/>
      <w:bookmarkEnd w:id="3"/>
    </w:p>
    <w:sectPr w:rsidR="00211355" w:rsidRPr="002113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11A44112"/>
    <w:lvl w:ilvl="0" w:tplc="DB1A31CA">
      <w:start w:val="4"/>
      <w:numFmt w:val="decimal"/>
      <w:lvlText w:val="%1."/>
      <w:lvlJc w:val="left"/>
    </w:lvl>
    <w:lvl w:ilvl="1" w:tplc="715AF878">
      <w:numFmt w:val="decimal"/>
      <w:lvlText w:val=""/>
      <w:lvlJc w:val="left"/>
    </w:lvl>
    <w:lvl w:ilvl="2" w:tplc="DBF04886">
      <w:numFmt w:val="decimal"/>
      <w:lvlText w:val=""/>
      <w:lvlJc w:val="left"/>
    </w:lvl>
    <w:lvl w:ilvl="3" w:tplc="9D22CDEE">
      <w:numFmt w:val="decimal"/>
      <w:lvlText w:val=""/>
      <w:lvlJc w:val="left"/>
    </w:lvl>
    <w:lvl w:ilvl="4" w:tplc="BF5CC0CA">
      <w:numFmt w:val="decimal"/>
      <w:lvlText w:val=""/>
      <w:lvlJc w:val="left"/>
    </w:lvl>
    <w:lvl w:ilvl="5" w:tplc="B0567C64">
      <w:numFmt w:val="decimal"/>
      <w:lvlText w:val=""/>
      <w:lvlJc w:val="left"/>
    </w:lvl>
    <w:lvl w:ilvl="6" w:tplc="7CC8A0A4">
      <w:numFmt w:val="decimal"/>
      <w:lvlText w:val=""/>
      <w:lvlJc w:val="left"/>
    </w:lvl>
    <w:lvl w:ilvl="7" w:tplc="554216EA">
      <w:numFmt w:val="decimal"/>
      <w:lvlText w:val=""/>
      <w:lvlJc w:val="left"/>
    </w:lvl>
    <w:lvl w:ilvl="8" w:tplc="94364A44">
      <w:numFmt w:val="decimal"/>
      <w:lvlText w:val=""/>
      <w:lvlJc w:val="left"/>
    </w:lvl>
  </w:abstractNum>
  <w:abstractNum w:abstractNumId="1">
    <w:nsid w:val="000026E9"/>
    <w:multiLevelType w:val="hybridMultilevel"/>
    <w:tmpl w:val="44061496"/>
    <w:lvl w:ilvl="0" w:tplc="19D8BE7E">
      <w:start w:val="3"/>
      <w:numFmt w:val="decimal"/>
      <w:lvlText w:val="%1."/>
      <w:lvlJc w:val="left"/>
    </w:lvl>
    <w:lvl w:ilvl="1" w:tplc="9858FF4A">
      <w:numFmt w:val="decimal"/>
      <w:lvlText w:val=""/>
      <w:lvlJc w:val="left"/>
    </w:lvl>
    <w:lvl w:ilvl="2" w:tplc="6100CC12">
      <w:numFmt w:val="decimal"/>
      <w:lvlText w:val=""/>
      <w:lvlJc w:val="left"/>
    </w:lvl>
    <w:lvl w:ilvl="3" w:tplc="46E2A7A4">
      <w:numFmt w:val="decimal"/>
      <w:lvlText w:val=""/>
      <w:lvlJc w:val="left"/>
    </w:lvl>
    <w:lvl w:ilvl="4" w:tplc="A8F2DF6A">
      <w:numFmt w:val="decimal"/>
      <w:lvlText w:val=""/>
      <w:lvlJc w:val="left"/>
    </w:lvl>
    <w:lvl w:ilvl="5" w:tplc="66A42FFA">
      <w:numFmt w:val="decimal"/>
      <w:lvlText w:val=""/>
      <w:lvlJc w:val="left"/>
    </w:lvl>
    <w:lvl w:ilvl="6" w:tplc="D668CF88">
      <w:numFmt w:val="decimal"/>
      <w:lvlText w:val=""/>
      <w:lvlJc w:val="left"/>
    </w:lvl>
    <w:lvl w:ilvl="7" w:tplc="2AE63844">
      <w:numFmt w:val="decimal"/>
      <w:lvlText w:val=""/>
      <w:lvlJc w:val="left"/>
    </w:lvl>
    <w:lvl w:ilvl="8" w:tplc="03CABB90">
      <w:numFmt w:val="decimal"/>
      <w:lvlText w:val=""/>
      <w:lvlJc w:val="left"/>
    </w:lvl>
  </w:abstractNum>
  <w:abstractNum w:abstractNumId="2">
    <w:nsid w:val="000041BB"/>
    <w:multiLevelType w:val="hybridMultilevel"/>
    <w:tmpl w:val="0EA0737A"/>
    <w:lvl w:ilvl="0" w:tplc="A96C359C">
      <w:start w:val="2"/>
      <w:numFmt w:val="decimal"/>
      <w:lvlText w:val="%1."/>
      <w:lvlJc w:val="left"/>
    </w:lvl>
    <w:lvl w:ilvl="1" w:tplc="2AFA3016">
      <w:numFmt w:val="decimal"/>
      <w:lvlText w:val=""/>
      <w:lvlJc w:val="left"/>
    </w:lvl>
    <w:lvl w:ilvl="2" w:tplc="25A20EAC">
      <w:numFmt w:val="decimal"/>
      <w:lvlText w:val=""/>
      <w:lvlJc w:val="left"/>
    </w:lvl>
    <w:lvl w:ilvl="3" w:tplc="4170B5E8">
      <w:numFmt w:val="decimal"/>
      <w:lvlText w:val=""/>
      <w:lvlJc w:val="left"/>
    </w:lvl>
    <w:lvl w:ilvl="4" w:tplc="10421FDE">
      <w:numFmt w:val="decimal"/>
      <w:lvlText w:val=""/>
      <w:lvlJc w:val="left"/>
    </w:lvl>
    <w:lvl w:ilvl="5" w:tplc="FC3E7E1A">
      <w:numFmt w:val="decimal"/>
      <w:lvlText w:val=""/>
      <w:lvlJc w:val="left"/>
    </w:lvl>
    <w:lvl w:ilvl="6" w:tplc="3D7E8ABC">
      <w:numFmt w:val="decimal"/>
      <w:lvlText w:val=""/>
      <w:lvlJc w:val="left"/>
    </w:lvl>
    <w:lvl w:ilvl="7" w:tplc="BB0C609A">
      <w:numFmt w:val="decimal"/>
      <w:lvlText w:val=""/>
      <w:lvlJc w:val="left"/>
    </w:lvl>
    <w:lvl w:ilvl="8" w:tplc="525ACF04">
      <w:numFmt w:val="decimal"/>
      <w:lvlText w:val=""/>
      <w:lvlJc w:val="left"/>
    </w:lvl>
  </w:abstractNum>
  <w:abstractNum w:abstractNumId="3">
    <w:nsid w:val="00005AF1"/>
    <w:multiLevelType w:val="hybridMultilevel"/>
    <w:tmpl w:val="73EA7BD2"/>
    <w:lvl w:ilvl="0" w:tplc="BB460068">
      <w:start w:val="1"/>
      <w:numFmt w:val="decimal"/>
      <w:lvlText w:val="%1."/>
      <w:lvlJc w:val="left"/>
    </w:lvl>
    <w:lvl w:ilvl="1" w:tplc="DC66CF62">
      <w:numFmt w:val="decimal"/>
      <w:lvlText w:val=""/>
      <w:lvlJc w:val="left"/>
    </w:lvl>
    <w:lvl w:ilvl="2" w:tplc="809429F0">
      <w:numFmt w:val="decimal"/>
      <w:lvlText w:val=""/>
      <w:lvlJc w:val="left"/>
    </w:lvl>
    <w:lvl w:ilvl="3" w:tplc="48347B4E">
      <w:numFmt w:val="decimal"/>
      <w:lvlText w:val=""/>
      <w:lvlJc w:val="left"/>
    </w:lvl>
    <w:lvl w:ilvl="4" w:tplc="DBD07C22">
      <w:numFmt w:val="decimal"/>
      <w:lvlText w:val=""/>
      <w:lvlJc w:val="left"/>
    </w:lvl>
    <w:lvl w:ilvl="5" w:tplc="90E2DAC4">
      <w:numFmt w:val="decimal"/>
      <w:lvlText w:val=""/>
      <w:lvlJc w:val="left"/>
    </w:lvl>
    <w:lvl w:ilvl="6" w:tplc="357E8362">
      <w:numFmt w:val="decimal"/>
      <w:lvlText w:val=""/>
      <w:lvlJc w:val="left"/>
    </w:lvl>
    <w:lvl w:ilvl="7" w:tplc="ED628028">
      <w:numFmt w:val="decimal"/>
      <w:lvlText w:val=""/>
      <w:lvlJc w:val="left"/>
    </w:lvl>
    <w:lvl w:ilvl="8" w:tplc="04D24DE0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5A"/>
    <w:rsid w:val="000F0AC5"/>
    <w:rsid w:val="00170A0E"/>
    <w:rsid w:val="00211355"/>
    <w:rsid w:val="00250A7F"/>
    <w:rsid w:val="004D2447"/>
    <w:rsid w:val="004F30C3"/>
    <w:rsid w:val="00593754"/>
    <w:rsid w:val="00670210"/>
    <w:rsid w:val="006B2EBF"/>
    <w:rsid w:val="006B2F42"/>
    <w:rsid w:val="00796A97"/>
    <w:rsid w:val="00957076"/>
    <w:rsid w:val="0096266A"/>
    <w:rsid w:val="009D6D5A"/>
    <w:rsid w:val="00A7222D"/>
    <w:rsid w:val="00BB2168"/>
    <w:rsid w:val="00BD4491"/>
    <w:rsid w:val="00C7140B"/>
    <w:rsid w:val="00DC3D2D"/>
    <w:rsid w:val="00E2239D"/>
    <w:rsid w:val="00ED0E0E"/>
    <w:rsid w:val="00F14712"/>
    <w:rsid w:val="00F51DCC"/>
    <w:rsid w:val="00F9639F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6A"/>
    <w:pPr>
      <w:spacing w:after="0" w:line="240" w:lineRule="auto"/>
    </w:pPr>
    <w:rPr>
      <w:rFonts w:ascii="Times New Roman" w:eastAsiaTheme="minorEastAsia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4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49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491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D44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D4491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BD4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491"/>
    <w:rPr>
      <w:rFonts w:ascii="Tahoma" w:eastAsiaTheme="minorEastAsia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BD4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6A"/>
    <w:pPr>
      <w:spacing w:after="0" w:line="240" w:lineRule="auto"/>
    </w:pPr>
    <w:rPr>
      <w:rFonts w:ascii="Times New Roman" w:eastAsiaTheme="minorEastAsia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4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49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491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D44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D4491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BD4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491"/>
    <w:rPr>
      <w:rFonts w:ascii="Tahoma" w:eastAsiaTheme="minorEastAsia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BD4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v0108500-22/pri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6A93-22FE-45DB-8867-06F144DB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Шуплякова</dc:creator>
  <cp:lastModifiedBy>Алла Лавріненко</cp:lastModifiedBy>
  <cp:revision>8</cp:revision>
  <cp:lastPrinted>2023-06-21T12:27:00Z</cp:lastPrinted>
  <dcterms:created xsi:type="dcterms:W3CDTF">2023-06-21T06:18:00Z</dcterms:created>
  <dcterms:modified xsi:type="dcterms:W3CDTF">2023-06-21T12:27:00Z</dcterms:modified>
</cp:coreProperties>
</file>